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A6" w:rsidRPr="00E118A6" w:rsidRDefault="00E118A6" w:rsidP="00E118A6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6F1D30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FA6670" w:rsidP="006F1D30">
      <w:pPr>
        <w:jc w:val="center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Об утверждении п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рограмм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ы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вреда (ущерба) охраняемым законом ценностям по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м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униципальному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земельному контролю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в границах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Дятьковского городского поселения Дятьковского муниципального района Брянской области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</w:p>
    <w:p w:rsidR="006F1D30" w:rsidRPr="00302AAE" w:rsidRDefault="006F1D30" w:rsidP="00302AAE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6F1D30" w:rsidRDefault="007419A5" w:rsidP="00B16A7C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1.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земельному контролю в границах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городского поселения Дятьковского муниципального района Брянской области</w:t>
      </w:r>
      <w:r w:rsidR="00B16A7C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на 2022 год</w:t>
      </w:r>
    </w:p>
    <w:p w:rsidR="007419A5" w:rsidRPr="007419A5" w:rsidRDefault="007419A5" w:rsidP="007419A5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5B2C" w:rsidRDefault="007419A5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proofErr w:type="gramStart"/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– деятельность, направленная </w:t>
      </w:r>
      <w:r w:rsidR="00F118C4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земельного законодательства (далее </w:t>
      </w:r>
      <w:r w:rsidR="008D050E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по пресечению выявленных нарушений обязательных требований, устранению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>их последствий и (или) восстановлению правового положения, существовавшего до</w:t>
      </w:r>
      <w:proofErr w:type="gramEnd"/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 возникновения таких нарушений.</w:t>
      </w:r>
    </w:p>
    <w:p w:rsidR="00313434" w:rsidRDefault="00313434" w:rsidP="00735B2C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городского поселения Дятьковского муниципального района Брянской области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осуществляется 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Администраци</w:t>
      </w:r>
      <w:r w:rsidR="004D241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 xml:space="preserve"> Дятьковского района</w:t>
      </w:r>
      <w:r w:rsidR="00AD75E7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орган муниципального земельного контроля)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A2462" w:rsidRDefault="00C33AAE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proofErr w:type="gramStart"/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Муниципальный земельный контроль осуществляется посредством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 w:rsid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организации </w:t>
      </w:r>
      <w:r w:rsidR="00E70A5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и проведения мероприятий по контролю</w:t>
      </w:r>
      <w:proofErr w:type="gramEnd"/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proofErr w:type="gramStart"/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осуществляемых</w:t>
      </w:r>
      <w:proofErr w:type="gramEnd"/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 без взаимодействия                                     с юридическими лицами, индивидуальными предпринимателями</w:t>
      </w:r>
      <w:r w:rsidR="00285FD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20D1D" w:rsidRDefault="009E73EF" w:rsidP="00313434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в границах </w:t>
      </w:r>
      <w:r w:rsidR="009E0320">
        <w:rPr>
          <w:rFonts w:ascii="PT Astra Serif" w:eastAsia="Times New Roman" w:hAnsi="PT Astra Serif"/>
          <w:sz w:val="28"/>
          <w:szCs w:val="28"/>
          <w:lang w:eastAsia="ru-RU"/>
        </w:rPr>
        <w:t>Дятьковского городского поселения Дятьковского муниципального района Брянской области</w:t>
      </w: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 на 2022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</w:t>
      </w:r>
      <w:r w:rsidR="00532345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профилактики)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.07.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2021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№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в Российской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Федерации», постановлением Правительства Российской Федерации от 25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.06.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2021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№ 990 «Об утверждении Правил</w:t>
      </w:r>
      <w:proofErr w:type="gramEnd"/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Default="00BB7832" w:rsidP="00320D1D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A85A49">
        <w:rPr>
          <w:rFonts w:ascii="PT Astra Serif" w:eastAsia="Times New Roman" w:hAnsi="PT Astra Serif"/>
          <w:sz w:val="28"/>
          <w:szCs w:val="28"/>
          <w:lang w:eastAsia="ru-RU"/>
        </w:rPr>
        <w:t xml:space="preserve">Положения о муниципальном земельном контроле на территории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городского поселения Дятьковского муниципального района Брянской области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400D8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утвержденного </w:t>
      </w:r>
      <w:r w:rsidR="005400D8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 xml:space="preserve">Решением </w:t>
      </w:r>
      <w:r w:rsidR="00B16A7C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>_____________________</w:t>
      </w:r>
      <w:r w:rsidR="00B01ECB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F53157"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 разработана 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</w:t>
      </w:r>
      <w:proofErr w:type="gramEnd"/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ущерба охраняемым законом ценностям.</w:t>
      </w:r>
    </w:p>
    <w:p w:rsidR="008E141B" w:rsidRPr="008E141B" w:rsidRDefault="008E141B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 w:rsidR="00A50E2A">
        <w:rPr>
          <w:rFonts w:ascii="PT Astra Serif" w:eastAsia="Times New Roman" w:hAnsi="PT Astra Serif"/>
          <w:sz w:val="28"/>
          <w:szCs w:val="28"/>
          <w:lang w:eastAsia="ru-RU"/>
        </w:rPr>
        <w:t xml:space="preserve"> загрязнение земельных участков отходами производства               и потребления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>, неиспользование участков по назначению.</w:t>
      </w:r>
    </w:p>
    <w:p w:rsidR="00132A95" w:rsidRDefault="008E141B" w:rsidP="005835D3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Проведение профилактических мероприятий направлен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ствование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Default="00132A95" w:rsidP="009E73EF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712D" w:rsidRDefault="000A008F" w:rsidP="00CC712D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 w:rsidR="006C633D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35108">
        <w:rPr>
          <w:rFonts w:ascii="PT Astra Serif" w:eastAsia="Times New Roman" w:hAnsi="PT Astra Serif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>Основными целями п</w:t>
      </w:r>
      <w:r w:rsidR="006F1261"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6F1261" w:rsidRDefault="006F1261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1. Стимулирование </w:t>
      </w:r>
      <w:r w:rsidR="008E686C"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добросовестного соблюдения обязательных требований всеми </w:t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>подконтрольными субъектами;</w:t>
      </w:r>
    </w:p>
    <w:p w:rsidR="008E686C" w:rsidRDefault="008E686C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2.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Устранение условий, причин и факторов, способных привести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Default="000F3514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3.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AE168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>их соблюдения.</w:t>
      </w:r>
    </w:p>
    <w:p w:rsidR="00AD6415" w:rsidRDefault="00AD6415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Основными задачами</w:t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A16FB6" w:rsidRPr="00A16FB6" w:rsidRDefault="00AD6415" w:rsidP="00A16FB6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1. </w:t>
      </w:r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Укрепление </w:t>
      </w:r>
      <w:proofErr w:type="gramStart"/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2. Повышение правосознания и правовой культуры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подконтрольных субъектов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3D7E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D668FF" w:rsidRPr="00D668FF">
        <w:rPr>
          <w:rFonts w:ascii="PT Astra Serif" w:eastAsia="Times New Roman" w:hAnsi="PT Astra Serif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193D2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93D2E" w:rsidRPr="00193D2E">
        <w:rPr>
          <w:rFonts w:ascii="PT Astra Serif" w:eastAsia="Times New Roman" w:hAnsi="PT Astra Serif"/>
          <w:sz w:val="28"/>
          <w:szCs w:val="28"/>
          <w:lang w:eastAsia="ru-RU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Ф</w:t>
      </w:r>
      <w:r w:rsidR="001C32D4" w:rsidRPr="001C32D4">
        <w:rPr>
          <w:rFonts w:ascii="PT Astra Serif" w:eastAsia="Times New Roman" w:hAnsi="PT Astra Serif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B16A7C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04732">
        <w:rPr>
          <w:rFonts w:ascii="PT Astra Serif" w:eastAsia="Times New Roman" w:hAnsi="PT Astra Serif"/>
          <w:sz w:val="28"/>
          <w:szCs w:val="28"/>
          <w:lang w:eastAsia="ru-RU"/>
        </w:rPr>
        <w:t>. П</w:t>
      </w:r>
      <w:r w:rsidR="00304732" w:rsidRP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овышение уровня правовой грамотности подконтрольных субъектов, </w:t>
      </w:r>
      <w:r w:rsid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="00304732" w:rsidRPr="00304732">
        <w:rPr>
          <w:rFonts w:ascii="PT Astra Serif" w:eastAsia="Times New Roman" w:hAnsi="PT Astra Serif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 xml:space="preserve">№ </w:t>
            </w:r>
            <w:proofErr w:type="gramStart"/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</w:t>
            </w:r>
            <w:proofErr w:type="gramEnd"/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9E0320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Дятьковского района Брянской области – отдел контрольно-ревизионного сектора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9E0320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Дятьковского района Брянской области – отдел контрольно-ревизионного сектора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333F63" w:rsidRPr="004F52CE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>А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дминистрации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6A7C">
              <w:rPr>
                <w:rFonts w:ascii="PT Astra Serif" w:hAnsi="PT Astra Serif"/>
                <w:sz w:val="24"/>
                <w:szCs w:val="24"/>
              </w:rPr>
              <w:t>Дятьковского района Брянской области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письменного разъяснения по однотипным обращениям контролируемых лиц и их </w:t>
            </w: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>представителей, подписанного уполномоченным должностным лицом органа</w:t>
            </w:r>
            <w:r w:rsidR="002553B8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3.Письменное консультирование контролируемых лиц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071BDB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9E0320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Дятьковского района Брянской области – отдел контрольно-ревизионного сектора</w:t>
            </w:r>
          </w:p>
        </w:tc>
      </w:tr>
      <w:tr w:rsidR="00F05A6E" w:rsidRPr="00071BD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F05A6E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Не менее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1 раз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9E0320" w:rsidRDefault="00B173B4" w:rsidP="00F05A6E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Дятьковского района Брянской области – отдел контрольно-ревизионного сектора</w:t>
            </w:r>
          </w:p>
        </w:tc>
      </w:tr>
      <w:tr w:rsidR="00D65B82" w:rsidRPr="00071BD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proofErr w:type="spellEnd"/>
            <w:r w:rsidR="00593932"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  <w:proofErr w:type="gramEnd"/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планирование и подготовк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работ по </w:t>
            </w:r>
            <w:proofErr w:type="spellStart"/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самообследованию</w:t>
            </w:r>
            <w:proofErr w:type="spellEnd"/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организаци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и проведение </w:t>
            </w:r>
            <w:proofErr w:type="spellStart"/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самообследования</w:t>
            </w:r>
            <w:proofErr w:type="spellEnd"/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обобщение полученных результатов и на их основе формирование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593932" w:rsidRPr="00F05A6E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рассмотрение отчета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3B3C13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о </w:t>
            </w:r>
            <w:proofErr w:type="spellStart"/>
            <w:r w:rsidR="00116B1A">
              <w:rPr>
                <w:rFonts w:ascii="PT Astra Serif" w:hAnsi="PT Astra Serif"/>
                <w:iCs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9E0320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9E0320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Подконтрольные субъекты</w:t>
            </w:r>
          </w:p>
        </w:tc>
      </w:tr>
      <w:tr w:rsidR="00CB568E" w:rsidRPr="00071BDB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D65B82" w:rsidP="0012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6</w:t>
            </w:r>
            <w:r w:rsidR="00CB568E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4" w:rsidRPr="00877D30" w:rsidRDefault="00C50921" w:rsidP="00B173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 w:rsidR="00B735DE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7B6559">
              <w:rPr>
                <w:rFonts w:ascii="PT Astra Serif" w:hAnsi="PT Astra Serif"/>
                <w:iCs/>
                <w:sz w:val="24"/>
                <w:szCs w:val="24"/>
              </w:rPr>
              <w:t xml:space="preserve">доклад) </w:t>
            </w: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9E0320">
              <w:rPr>
                <w:rFonts w:ascii="PT Astra Serif" w:hAnsi="PT Astra Serif"/>
                <w:iCs/>
                <w:sz w:val="24"/>
                <w:szCs w:val="24"/>
              </w:rPr>
              <w:t xml:space="preserve">в соответствии  с </w:t>
            </w:r>
            <w:bookmarkStart w:id="0" w:name="_GoBack"/>
            <w:bookmarkEnd w:id="0"/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>Положени</w:t>
            </w:r>
            <w:r w:rsidR="009E0320">
              <w:rPr>
                <w:rFonts w:ascii="PT Astra Serif" w:hAnsi="PT Astra Serif"/>
                <w:iCs/>
                <w:sz w:val="24"/>
                <w:szCs w:val="24"/>
              </w:rPr>
              <w:t>ем</w:t>
            </w:r>
            <w:r w:rsidR="00810329">
              <w:rPr>
                <w:rFonts w:ascii="PT Astra Serif" w:hAnsi="PT Astra Serif"/>
                <w:iCs/>
                <w:sz w:val="24"/>
                <w:szCs w:val="24"/>
              </w:rPr>
              <w:t xml:space="preserve">   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>о муниципальном земельном контроле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на территории </w:t>
            </w:r>
            <w:r w:rsidR="00B173B4">
              <w:rPr>
                <w:rFonts w:ascii="PT Astra Serif" w:hAnsi="PT Astra Serif"/>
                <w:iCs/>
                <w:sz w:val="24"/>
                <w:szCs w:val="24"/>
              </w:rPr>
              <w:t>Дятьковского городского поселения Дятьковского муниципального района Брянской области</w:t>
            </w:r>
          </w:p>
          <w:p w:rsidR="00CB568E" w:rsidRPr="00877D30" w:rsidRDefault="00CB568E" w:rsidP="008B08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093352" w:rsidP="000933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>не позднее 30 апреля года, следующ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его                 за </w:t>
            </w:r>
            <w:proofErr w:type="gramStart"/>
            <w:r>
              <w:rPr>
                <w:rFonts w:ascii="PT Astra Serif" w:hAnsi="PT Astra Serif"/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9E0320" w:rsidRDefault="00B173B4" w:rsidP="00123AA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Дятьковского района Брянской области – отдел контрольно-ревизионного сектора</w:t>
            </w:r>
          </w:p>
        </w:tc>
      </w:tr>
    </w:tbl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5AE0" w:rsidRDefault="00DE5AE0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71BD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71BDB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</w:t>
            </w:r>
            <w:r w:rsidR="001B507A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Удовлетворенность контролируемых лиц </w:t>
            </w:r>
            <w:r w:rsidR="00AB607C"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% от числа </w:t>
            </w:r>
            <w:proofErr w:type="gramStart"/>
            <w:r w:rsidRPr="00071BDB">
              <w:rPr>
                <w:rFonts w:ascii="PT Astra Serif" w:hAnsi="PT Astra Serif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 w:rsidR="00D30DF7"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, проведенн</w:t>
            </w:r>
            <w:r w:rsidR="00D30DF7">
              <w:rPr>
                <w:rFonts w:ascii="PT Astra Serif" w:hAnsi="PT Astra Serif"/>
                <w:sz w:val="24"/>
                <w:szCs w:val="24"/>
              </w:rPr>
              <w:t>ого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>орган</w:t>
            </w:r>
            <w:r w:rsidR="009A25B2">
              <w:rPr>
                <w:rFonts w:ascii="PT Astra Serif" w:hAnsi="PT Astra Serif"/>
                <w:sz w:val="24"/>
                <w:szCs w:val="24"/>
              </w:rPr>
              <w:t>ом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</w:tbl>
    <w:p w:rsidR="00071BDB" w:rsidRPr="000A008F" w:rsidRDefault="00071BDB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071BDB" w:rsidRPr="000A008F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6A" w:rsidRDefault="00F4636A">
      <w:r>
        <w:separator/>
      </w:r>
    </w:p>
  </w:endnote>
  <w:endnote w:type="continuationSeparator" w:id="0">
    <w:p w:rsidR="00F4636A" w:rsidRDefault="00F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6A" w:rsidRDefault="00F4636A">
      <w:r>
        <w:separator/>
      </w:r>
    </w:p>
  </w:footnote>
  <w:footnote w:type="continuationSeparator" w:id="0">
    <w:p w:rsidR="00F4636A" w:rsidRDefault="00F4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E032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3932"/>
    <w:rsid w:val="005E1C26"/>
    <w:rsid w:val="005E7B51"/>
    <w:rsid w:val="006019DA"/>
    <w:rsid w:val="00620740"/>
    <w:rsid w:val="0062547A"/>
    <w:rsid w:val="00641112"/>
    <w:rsid w:val="00644273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320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A7C"/>
    <w:rsid w:val="00B173B4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453F"/>
    <w:rsid w:val="00B95013"/>
    <w:rsid w:val="00BA3230"/>
    <w:rsid w:val="00BB7832"/>
    <w:rsid w:val="00BC3BA1"/>
    <w:rsid w:val="00BC4E67"/>
    <w:rsid w:val="00BD171C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F6096"/>
    <w:rsid w:val="00D116A9"/>
    <w:rsid w:val="00D1552F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4636A"/>
    <w:rsid w:val="00F53157"/>
    <w:rsid w:val="00F60919"/>
    <w:rsid w:val="00F65734"/>
    <w:rsid w:val="00F663B3"/>
    <w:rsid w:val="00F842ED"/>
    <w:rsid w:val="00FA3FCC"/>
    <w:rsid w:val="00FA4141"/>
    <w:rsid w:val="00FA4D12"/>
    <w:rsid w:val="00FA6670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60DB-D34C-485C-B175-8F6789E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Хозяин</cp:lastModifiedBy>
  <cp:revision>4</cp:revision>
  <cp:lastPrinted>2021-04-12T05:54:00Z</cp:lastPrinted>
  <dcterms:created xsi:type="dcterms:W3CDTF">2021-09-29T10:11:00Z</dcterms:created>
  <dcterms:modified xsi:type="dcterms:W3CDTF">2021-10-07T07:17:00Z</dcterms:modified>
</cp:coreProperties>
</file>